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right"/>
        <w:rPr/>
      </w:pPr>
      <w:r>
        <w:rPr/>
        <w:t>УТВЕРЖДАЮ:</w:t>
      </w:r>
    </w:p>
    <w:p>
      <w:pPr>
        <w:pStyle w:val="Normal"/>
        <w:jc w:val="right"/>
        <w:rPr/>
      </w:pPr>
      <w:r>
        <w:rPr/>
        <w:t>И.о. первого заместителя директора –</w:t>
      </w:r>
    </w:p>
    <w:p>
      <w:pPr>
        <w:pStyle w:val="Normal"/>
        <w:jc w:val="right"/>
        <w:rPr/>
      </w:pPr>
      <w:r>
        <w:rPr/>
        <w:t xml:space="preserve"> </w:t>
      </w:r>
      <w:r>
        <w:rPr/>
        <w:t>главного инженера</w:t>
      </w:r>
    </w:p>
    <w:p>
      <w:pPr>
        <w:pStyle w:val="Normal"/>
        <w:jc w:val="right"/>
        <w:rPr/>
      </w:pPr>
      <w:r>
        <w:rPr/>
        <w:t>________________В.В. Сладкевич</w:t>
      </w:r>
    </w:p>
    <w:p>
      <w:pPr>
        <w:pStyle w:val="Normal"/>
        <w:jc w:val="right"/>
        <w:rPr/>
      </w:pPr>
      <w:r>
        <w:rPr/>
        <w:t>«_____» ___________ 2026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keepNext w:val="true"/>
        <w:keepLines/>
        <w:jc w:val="center"/>
        <w:rPr>
          <w:rFonts w:eastAsia="Calibri"/>
          <w:b/>
        </w:rPr>
      </w:pPr>
      <w:r>
        <w:rPr>
          <w:rFonts w:eastAsia="Calibri"/>
          <w:b/>
        </w:rPr>
        <w:t xml:space="preserve">Технические требования </w:t>
      </w:r>
    </w:p>
    <w:p>
      <w:pPr>
        <w:pStyle w:val="Normal"/>
        <w:jc w:val="center"/>
        <w:rPr>
          <w:rFonts w:eastAsia="Calibri"/>
          <w:b/>
        </w:rPr>
      </w:pPr>
      <w:r>
        <w:rPr>
          <w:rFonts w:eastAsia="Calibri"/>
          <w:b/>
        </w:rPr>
      </w:r>
    </w:p>
    <w:p>
      <w:pPr>
        <w:pStyle w:val="Normal"/>
        <w:bidi w:val="0"/>
        <w:jc w:val="center"/>
        <w:rPr/>
      </w:pPr>
      <w:r>
        <w:rPr>
          <w:rStyle w:val="Strong"/>
          <w:rFonts w:eastAsia="Times New Roman" w:cs="Times New Roman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em w:val="none"/>
          <w:lang w:val="ru-RU" w:eastAsia="ru-RU" w:bidi="ar-SA"/>
        </w:rPr>
        <w:t xml:space="preserve">ОКПД2 26.51.45.190 «Приборы и аппаратура для измерения и контроля электрических величин» </w:t>
      </w:r>
      <w:r>
        <w:rPr>
          <w:rFonts w:eastAsia="Times New Roman" w:cs="Times New Roman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em w:val="none"/>
          <w:lang w:val="ru-RU" w:eastAsia="ru-RU" w:bidi="ar-SA"/>
        </w:rPr>
        <w:t>для нужд филиала ПАО «РусГидро» - «Зейс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кая ГЭС»</w:t>
      </w:r>
    </w:p>
    <w:p>
      <w:pPr>
        <w:pStyle w:val="Normal"/>
        <w:bidi w:val="0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center"/>
        <w:rPr>
          <w:rFonts w:eastAsia="Calibri"/>
          <w:b/>
          <w:i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</w:p>
    <w:p>
      <w:pPr>
        <w:pStyle w:val="Normal"/>
        <w:bidi w:val="0"/>
        <w:jc w:val="center"/>
        <w:rPr>
          <w:color w:val="000000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8"/>
          <w:u w:val="none"/>
          <w:em w:val="none"/>
        </w:rPr>
        <w:t>Л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 xml:space="preserve">ОТ: 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u w:val="none"/>
          <w:em w:val="none"/>
        </w:rPr>
        <w:t xml:space="preserve">41077975-ЭКСП ПРОД-2026-ЗГЭС </w:t>
      </w:r>
    </w:p>
    <w:p>
      <w:pPr>
        <w:pStyle w:val="Normal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Normal"/>
        <w:jc w:val="center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jc w:val="center"/>
        <w:rPr>
          <w:b/>
        </w:rPr>
      </w:pPr>
      <w:r>
        <w:rPr>
          <w:b/>
        </w:rPr>
        <w:t>СОДЕРЖАНИЕ</w:t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1"/>
            <w:rPr/>
          </w:pPr>
          <w:r>
            <w:fldChar w:fldCharType="begin"/>
          </w:r>
          <w:r>
            <w:rPr>
              <w:webHidden/>
              <w:rStyle w:val="Style11"/>
              <w:sz w:val="20"/>
              <w:szCs w:val="20"/>
              <w:vanish w:val="false"/>
              <w:color w:val="auto"/>
            </w:rPr>
            <w:instrText xml:space="preserve"> TOC \z \o "1-4" \u \h</w:instrText>
          </w:r>
          <w:r>
            <w:rPr>
              <w:webHidden/>
              <w:rStyle w:val="Style11"/>
              <w:sz w:val="20"/>
              <w:szCs w:val="20"/>
              <w:vanish w:val="false"/>
              <w:color w:val="auto"/>
            </w:rPr>
            <w:fldChar w:fldCharType="separate"/>
          </w:r>
          <w:hyperlink w:anchor="_Toc75446566">
            <w:r>
              <w:rPr>
                <w:webHidden/>
                <w:rStyle w:val="Style11"/>
                <w:vanish w:val="false"/>
                <w:color w:val="auto"/>
                <w:sz w:val="20"/>
                <w:szCs w:val="20"/>
              </w:rPr>
              <w:t>1.Общие сведения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_Toc75446566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1"/>
                <w:vanish w:val="false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rPr/>
          </w:pPr>
          <w:hyperlink w:anchor="_Toc75446567">
            <w:r>
              <w:rPr>
                <w:webHidden/>
                <w:rStyle w:val="Style11"/>
                <w:vanish w:val="false"/>
                <w:color w:val="auto"/>
              </w:rPr>
              <w:t>1.1.</w:t>
            </w:r>
            <w:r>
              <w:rPr>
                <w:rStyle w:val="Style11"/>
                <w:rFonts w:eastAsia="" w:cs="" w:cstheme="minorBidi" w:eastAsiaTheme="minorEastAsia"/>
              </w:rPr>
              <w:tab/>
            </w:r>
            <w:r>
              <w:rPr>
                <w:rStyle w:val="Style11"/>
                <w:color w:val="auto"/>
              </w:rPr>
              <w:t>Обозначения и сокращения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_Toc75446567 \h</w:instrText>
            </w:r>
            <w:r>
              <w:rPr>
                <w:webHidden/>
              </w:rPr>
              <w:fldChar w:fldCharType="separate"/>
            </w:r>
            <w:r>
              <w:rPr>
                <w:rStyle w:val="Style11"/>
                <w:vanish w:val="false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4"/>
            <w:rPr/>
          </w:pPr>
          <w:hyperlink w:anchor="_Toc75446568">
            <w:r>
              <w:rPr>
                <w:webHidden/>
                <w:rStyle w:val="Style11"/>
                <w:rFonts w:eastAsia="" w:cs=""/>
                <w:vanish w:val="false"/>
                <w:color w:val="auto"/>
              </w:rPr>
              <w:t>1.2.</w:t>
            </w:r>
            <w:r>
              <w:rPr>
                <w:rStyle w:val="Style11"/>
                <w:rFonts w:eastAsia="" w:cs="" w:cstheme="minorBidi" w:eastAsiaTheme="minorEastAsia"/>
                <w:vanish w:val="false"/>
              </w:rPr>
              <w:tab/>
            </w:r>
            <w:r>
              <w:rPr>
                <w:rStyle w:val="Style11"/>
                <w:rFonts w:eastAsia="" w:cs=""/>
                <w:vanish w:val="false"/>
                <w:color w:val="auto"/>
              </w:rPr>
              <w:t>Наименование закупаемой продукции</w:t>
            </w:r>
            <w:r>
              <w:rPr>
                <w:rStyle w:val="Style11"/>
                <w:rFonts w:eastAsia="" w:cs="" w:cstheme="minorBidi" w:eastAsiaTheme="minorEastAsia"/>
                <w:vanish w:val="false"/>
              </w:rPr>
              <w:tab/>
            </w:r>
          </w:hyperlink>
          <w:r>
            <w:rPr>
              <w:rFonts w:eastAsia="" w:cs="" w:cstheme="minorBidi" w:eastAsiaTheme="minorEastAsia"/>
              <w:vanish w:val="false"/>
            </w:rPr>
            <w:t>3</w:t>
          </w:r>
        </w:p>
        <w:p>
          <w:pPr>
            <w:pStyle w:val="TOC4"/>
            <w:rPr/>
          </w:pPr>
          <w:hyperlink w:anchor="_Toc75446569">
            <w:r>
              <w:rPr>
                <w:webHidden/>
                <w:rStyle w:val="Style11"/>
                <w:vanish w:val="false"/>
                <w:color w:val="auto"/>
              </w:rPr>
              <w:t>1.3.</w:t>
            </w:r>
            <w:r>
              <w:rPr>
                <w:rStyle w:val="Style11"/>
                <w:rFonts w:eastAsia="" w:cs="" w:cstheme="minorBidi" w:eastAsiaTheme="minorEastAsia"/>
              </w:rPr>
              <w:tab/>
            </w:r>
            <w:r>
              <w:rPr>
                <w:rStyle w:val="Style11"/>
                <w:color w:val="auto"/>
              </w:rPr>
              <w:t>Цель использования закупаемой продукции</w:t>
            </w:r>
            <w:r>
              <w:rPr>
                <w:rStyle w:val="Style11"/>
                <w:vanish w:val="false"/>
              </w:rPr>
              <w:tab/>
            </w:r>
          </w:hyperlink>
          <w:r>
            <w:rPr>
              <w:vanish w:val="false"/>
            </w:rPr>
            <w:t>3</w:t>
          </w:r>
        </w:p>
        <w:p>
          <w:pPr>
            <w:pStyle w:val="TOC4"/>
            <w:rPr>
              <w:rFonts w:ascii="Calibri" w:hAnsi="Calibri" w:eastAsia="" w:cs="" w:asciiTheme="minorHAnsi" w:cstheme="minorBidi" w:eastAsiaTheme="minorEastAsia" w:hAnsiTheme="minorHAnsi"/>
            </w:rPr>
          </w:pPr>
          <w:r>
            <w:rPr>
              <w:rFonts w:eastAsia="" w:cs="" w:cstheme="minorBidi" w:eastAsiaTheme="minorEastAsia" w:ascii="Calibri" w:hAnsi="Calibri"/>
            </w:rPr>
          </w:r>
        </w:p>
        <w:p>
          <w:pPr>
            <w:pStyle w:val="TOC1"/>
            <w:rPr/>
          </w:pPr>
          <w:hyperlink w:anchor="_Toc75446573">
            <w:r>
              <w:rPr>
                <w:webHidden/>
                <w:rStyle w:val="Style11"/>
                <w:vanish w:val="false"/>
                <w:color w:val="auto"/>
                <w:sz w:val="20"/>
                <w:szCs w:val="20"/>
              </w:rPr>
              <w:t>2.</w:t>
            </w:r>
            <w:r>
              <w:rPr>
                <w:rStyle w:val="Style11"/>
                <w:iCs/>
                <w:color w:val="auto"/>
                <w:sz w:val="20"/>
                <w:szCs w:val="20"/>
              </w:rPr>
              <w:t>Требования к продукции</w:t>
            </w:r>
            <w:r>
              <w:rPr>
                <w:rStyle w:val="Style11"/>
                <w:vanish w:val="false"/>
              </w:rPr>
              <w:tab/>
            </w:r>
          </w:hyperlink>
          <w:r>
            <w:rPr>
              <w:vanish w:val="false"/>
            </w:rPr>
            <w:t>3</w:t>
          </w:r>
          <w:r>
            <w:rPr/>
            <w:t xml:space="preserve">   </w:t>
          </w:r>
        </w:p>
        <w:p>
          <w:pPr>
            <w:pStyle w:val="Normal"/>
            <w:ind w:firstLine="567"/>
            <w:rPr>
              <w:sz w:val="20"/>
              <w:szCs w:val="20"/>
            </w:rPr>
          </w:pPr>
          <w:r>
            <w:rPr>
              <w:sz w:val="20"/>
              <w:szCs w:val="20"/>
            </w:rPr>
            <w:t>2.1. Требования к объемам и срокам поставки………………………………………………………….…..3</w:t>
          </w:r>
        </w:p>
        <w:p>
          <w:pPr>
            <w:pStyle w:val="TOC1"/>
            <w:rPr/>
          </w:pPr>
          <w:r>
            <w:rPr/>
            <w:t xml:space="preserve">  </w:t>
          </w:r>
          <w:hyperlink w:anchor="_Toc75446575">
            <w:r>
              <w:rPr>
                <w:webHidden/>
                <w:rStyle w:val="Style11"/>
                <w:b w:val="false"/>
                <w:vanish w:val="false"/>
                <w:color w:val="auto"/>
                <w:sz w:val="20"/>
                <w:szCs w:val="20"/>
              </w:rPr>
              <w:t>2.1.1.Перечень и объем закупаемой продукции</w:t>
            </w:r>
            <w:r>
              <w:rPr>
                <w:rStyle w:val="Style11"/>
                <w:vanish w:val="false"/>
              </w:rPr>
              <w:tab/>
            </w:r>
          </w:hyperlink>
          <w:r>
            <w:rPr>
              <w:vanish w:val="false"/>
            </w:rPr>
            <w:t>3</w:t>
          </w:r>
        </w:p>
        <w:p>
          <w:pPr>
            <w:pStyle w:val="TOC1"/>
            <w:rPr/>
          </w:pPr>
          <w:hyperlink w:anchor="_Toc75446577">
            <w:r>
              <w:rPr>
                <w:webHidden/>
                <w:rStyle w:val="Style11"/>
                <w:vanish w:val="false"/>
                <w:color w:val="auto"/>
                <w:sz w:val="20"/>
                <w:szCs w:val="20"/>
              </w:rPr>
              <w:t>Таблица 1. Перечень и объем закупаемой продукции</w:t>
            </w:r>
            <w:r>
              <w:rPr>
                <w:rStyle w:val="Style11"/>
                <w:vanish w:val="false"/>
              </w:rPr>
              <w:tab/>
            </w:r>
          </w:hyperlink>
          <w:r>
            <w:rPr>
              <w:vanish w:val="false"/>
            </w:rPr>
            <w:t>3</w:t>
          </w:r>
        </w:p>
        <w:p>
          <w:pPr>
            <w:pStyle w:val="Normal"/>
            <w:ind w:firstLine="426"/>
            <w:rPr>
              <w:rFonts w:cs="Calibri Light (Заголовки)"/>
              <w:bCs/>
              <w:color w:val="auto"/>
              <w:sz w:val="20"/>
              <w:szCs w:val="20"/>
              <w:u w:val="none"/>
            </w:rPr>
          </w:pPr>
          <w:r>
            <w:rPr>
              <w:rFonts w:eastAsia="" w:eastAsiaTheme="minorEastAsia"/>
              <w:sz w:val="20"/>
              <w:szCs w:val="20"/>
            </w:rPr>
            <w:t xml:space="preserve">  </w:t>
          </w:r>
          <w:r>
            <w:rPr>
              <w:rFonts w:eastAsia="" w:eastAsiaTheme="minorEastAsia"/>
              <w:sz w:val="20"/>
              <w:szCs w:val="20"/>
            </w:rPr>
            <w:t>2</w:t>
          </w:r>
          <w:r>
            <w:rPr>
              <w:rFonts w:cs="Calibri Light (Заголовки)"/>
              <w:bCs/>
              <w:color w:val="auto"/>
              <w:sz w:val="20"/>
              <w:szCs w:val="20"/>
              <w:u w:val="none"/>
            </w:rPr>
            <w:t>.1.2.Требования по срокам поставки продукции…………………………………………….……………..3</w:t>
          </w:r>
        </w:p>
        <w:p>
          <w:pPr>
            <w:pStyle w:val="TOC4"/>
            <w:rPr>
              <w:rFonts w:ascii="Calibri" w:hAnsi="Calibri" w:eastAsia="" w:cs="" w:asciiTheme="minorHAnsi" w:cstheme="minorBidi" w:eastAsiaTheme="minorEastAsia" w:hAnsiTheme="minorHAnsi"/>
            </w:rPr>
          </w:pPr>
          <w:hyperlink w:anchor="_Toc75446581">
            <w:r>
              <w:rPr>
                <w:webHidden/>
                <w:rStyle w:val="Style11"/>
                <w:vanish w:val="false"/>
                <w:color w:val="auto"/>
              </w:rPr>
              <w:t>2.2.</w:t>
            </w:r>
            <w:r>
              <w:rPr>
                <w:rStyle w:val="Style11"/>
                <w:rFonts w:eastAsia="" w:cs="" w:ascii="Calibri" w:hAnsi="Calibri" w:asciiTheme="minorHAnsi" w:cstheme="minorBidi" w:eastAsiaTheme="minorEastAsia" w:hAnsiTheme="minorHAnsi"/>
              </w:rPr>
              <w:tab/>
            </w:r>
            <w:r>
              <w:rPr>
                <w:rStyle w:val="Style11"/>
                <w:color w:val="auto"/>
              </w:rPr>
              <w:t>Требования к качеству продукции</w:t>
            </w:r>
            <w:r>
              <w:rPr>
                <w:rStyle w:val="Style11"/>
                <w:vanish w:val="false"/>
              </w:rPr>
              <w:tab/>
            </w:r>
          </w:hyperlink>
          <w:r>
            <w:rPr>
              <w:rFonts w:eastAsia="" w:cs="" w:ascii="Calibri" w:hAnsi="Calibri" w:asciiTheme="minorHAnsi" w:cstheme="minorBidi" w:eastAsiaTheme="minorEastAsia" w:hAnsiTheme="minorHAnsi"/>
              <w:vanish w:val="false"/>
            </w:rPr>
            <w:t>3</w:t>
          </w:r>
        </w:p>
        <w:p>
          <w:pPr>
            <w:pStyle w:val="TOC1"/>
            <w:rPr>
              <w:rFonts w:ascii="Calibri" w:hAnsi="Calibri" w:eastAsia="" w:cs="" w:asciiTheme="minorHAnsi" w:cstheme="minorBidi" w:eastAsiaTheme="minorEastAsia" w:hAnsiTheme="minorHAnsi"/>
            </w:rPr>
          </w:pPr>
          <w:hyperlink w:anchor="_Toc75446582">
            <w:r>
              <w:rPr>
                <w:webHidden/>
                <w:rStyle w:val="Style11"/>
                <w:vanish w:val="false"/>
                <w:color w:val="auto"/>
                <w:sz w:val="20"/>
                <w:szCs w:val="20"/>
              </w:rPr>
              <w:t>Таблица 2. Требования к продукции</w:t>
            </w:r>
            <w:r>
              <w:rPr>
                <w:rStyle w:val="Style11"/>
                <w:vanish w:val="false"/>
              </w:rPr>
              <w:tab/>
            </w:r>
          </w:hyperlink>
          <w:r>
            <w:rPr>
              <w:rFonts w:eastAsia="" w:cs="" w:ascii="Calibri" w:hAnsi="Calibri" w:asciiTheme="minorHAnsi" w:cstheme="minorBidi" w:eastAsiaTheme="minorEastAsia" w:hAnsiTheme="minorHAnsi"/>
              <w:vanish w:val="false"/>
            </w:rPr>
            <w:t>3</w:t>
          </w:r>
        </w:p>
        <w:p>
          <w:pPr>
            <w:pStyle w:val="TOC1"/>
            <w:rPr/>
          </w:pPr>
          <w:hyperlink w:anchor="_Toc75446583">
            <w:r>
              <w:rPr>
                <w:webHidden/>
                <w:rStyle w:val="Style11"/>
                <w:vanish w:val="false"/>
                <w:color w:val="auto"/>
                <w:sz w:val="20"/>
                <w:szCs w:val="20"/>
              </w:rPr>
              <w:t>3.Требования к документации по ценообразованию на этапе закупки</w:t>
            </w:r>
            <w:r>
              <w:rPr>
                <w:rStyle w:val="Style11"/>
                <w:vanish w:val="false"/>
              </w:rPr>
              <w:tab/>
            </w:r>
          </w:hyperlink>
          <w:r>
            <w:rPr>
              <w:vanish w:val="false"/>
            </w:rPr>
            <w:t>5</w:t>
          </w:r>
        </w:p>
        <w:p>
          <w:pPr>
            <w:pStyle w:val="Normal"/>
            <w:rPr/>
          </w:pPr>
          <w:r>
            <w:rPr/>
          </w:r>
        </w:p>
        <w:p>
          <w:pPr>
            <w:pStyle w:val="Normal"/>
            <w:rPr>
              <w:rFonts w:eastAsia="" w:eastAsiaTheme="minorEastAsia"/>
              <w:b/>
              <w:sz w:val="20"/>
              <w:szCs w:val="20"/>
            </w:rPr>
          </w:pPr>
          <w:r>
            <w:rPr>
              <w:rFonts w:eastAsia="" w:eastAsiaTheme="minorEastAsia"/>
            </w:rPr>
            <w:t xml:space="preserve">       </w:t>
          </w:r>
          <w:r>
            <w:rPr>
              <w:rFonts w:eastAsia="" w:eastAsiaTheme="minorEastAsia"/>
              <w:b/>
              <w:sz w:val="20"/>
              <w:szCs w:val="20"/>
            </w:rPr>
            <w:t>Приложение №1 к Техническим требованиям……………………………………………..……………..6</w:t>
          </w:r>
          <w:r>
            <w:rPr>
              <w:sz w:val="20"/>
              <w:b/>
              <w:szCs w:val="20"/>
              <w:rFonts w:eastAsia=""/>
            </w:rPr>
            <w:fldChar w:fldCharType="end"/>
          </w:r>
        </w:p>
      </w:sdtContent>
    </w:sdt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Heading1"/>
        <w:keepLines/>
        <w:numPr>
          <w:ilvl w:val="0"/>
          <w:numId w:val="2"/>
        </w:numPr>
        <w:tabs>
          <w:tab w:val="clear" w:pos="708"/>
          <w:tab w:val="left" w:pos="284" w:leader="none"/>
        </w:tabs>
        <w:ind w:left="0" w:hanging="0"/>
        <w:jc w:val="center"/>
        <w:rPr>
          <w:caps/>
          <w:lang w:val="ru-RU"/>
        </w:rPr>
      </w:pPr>
      <w:r>
        <w:rPr>
          <w:lang w:val="ru-RU"/>
        </w:rPr>
        <w:t>Общие сведения</w:t>
      </w:r>
    </w:p>
    <w:p>
      <w:pPr>
        <w:pStyle w:val="Heading4"/>
        <w:numPr>
          <w:ilvl w:val="1"/>
          <w:numId w:val="2"/>
        </w:numPr>
        <w:rPr/>
      </w:pPr>
      <w:r>
        <w:rPr/>
        <w:t>Обозначения и сокращения</w:t>
      </w:r>
    </w:p>
    <w:tbl>
      <w:tblPr>
        <w:tblW w:w="8784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837"/>
        <w:gridCol w:w="6946"/>
      </w:tblGrid>
      <w:tr>
        <w:trPr>
          <w:cantSplit w:val="true"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60" w:after="6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ТТ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60" w:after="6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Технические требования</w:t>
            </w:r>
          </w:p>
        </w:tc>
      </w:tr>
      <w:tr>
        <w:trPr>
          <w:cantSplit w:val="true"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60" w:after="6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ЭЗС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Электрозащитные средства</w:t>
            </w:r>
          </w:p>
        </w:tc>
      </w:tr>
      <w:tr>
        <w:trPr>
          <w:cantSplit w:val="true"/>
        </w:trPr>
        <w:tc>
          <w:tcPr>
            <w:tcW w:w="18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60" w:after="6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НТД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  <w:t>Нормативно-техническая документация</w:t>
            </w:r>
          </w:p>
        </w:tc>
      </w:tr>
      <w:tr>
        <w:trPr>
          <w:cantSplit w:val="true"/>
        </w:trPr>
        <w:tc>
          <w:tcPr>
            <w:tcW w:w="18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  <w:t>ТМЦ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  <w:t>Товарно-материальные ценности</w:t>
            </w:r>
          </w:p>
        </w:tc>
      </w:tr>
      <w:tr>
        <w:trPr>
          <w:cantSplit w:val="true"/>
        </w:trPr>
        <w:tc>
          <w:tcPr>
            <w:tcW w:w="18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  <w:t>ОТ</w:t>
            </w:r>
          </w:p>
        </w:tc>
        <w:tc>
          <w:tcPr>
            <w:tcW w:w="694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  <w:t>Охрана труда</w:t>
            </w:r>
          </w:p>
        </w:tc>
      </w:tr>
      <w:tr>
        <w:trPr>
          <w:cantSplit w:val="true"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60" w:after="6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Филиал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spacing w:before="120" w:after="60"/>
              <w:contextualSpacing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«РусГидро» - «Зейская ГЭС»</w:t>
            </w:r>
          </w:p>
        </w:tc>
      </w:tr>
      <w:tr>
        <w:trPr>
          <w:cantSplit w:val="true"/>
        </w:trPr>
        <w:tc>
          <w:tcPr>
            <w:tcW w:w="18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bidi w:val="0"/>
              <w:jc w:val="left"/>
              <w:rPr>
                <w:rFonts w:ascii="Times New Roman" w:hAnsi="Times New Roman"/>
                <w:b w:val="false"/>
                <w:i w:val="false"/>
                <w:i w:val="false"/>
                <w:strike w:val="false"/>
                <w:dstrike w:val="false"/>
                <w:outline w:val="false"/>
                <w:shadow w:val="false"/>
                <w:sz w:val="24"/>
                <w:u w:val="none"/>
                <w:em w:val="none"/>
              </w:rPr>
            </w:pPr>
            <w:r>
              <w:rPr>
                <w:b w:val="false"/>
                <w:i w:val="false"/>
                <w:strike w:val="false"/>
                <w:dstrike w:val="false"/>
                <w:outline w:val="false"/>
                <w:shadow w:val="false"/>
                <w:color w:val="000000"/>
                <w:sz w:val="24"/>
                <w:szCs w:val="24"/>
                <w:u w:val="none"/>
                <w:em w:val="none"/>
              </w:rPr>
              <w:t>РД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uppressAutoHyphens w:val="true"/>
              <w:spacing w:before="60" w:after="6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Руководящий документ</w:t>
            </w:r>
          </w:p>
        </w:tc>
      </w:tr>
    </w:tbl>
    <w:p>
      <w:pPr>
        <w:pStyle w:val="Heading4"/>
        <w:numPr>
          <w:ilvl w:val="1"/>
          <w:numId w:val="2"/>
        </w:numPr>
        <w:ind w:left="431" w:hanging="431"/>
        <w:rPr/>
      </w:pPr>
      <w:r>
        <w:rPr/>
        <w:t>Наименование закупаемой продукции</w:t>
      </w:r>
    </w:p>
    <w:p>
      <w:pPr>
        <w:pStyle w:val="Normal"/>
        <w:bidi w:val="0"/>
        <w:jc w:val="both"/>
        <w:rPr/>
      </w:pPr>
      <w:r>
        <w:rPr>
          <w:rStyle w:val="Strong"/>
          <w:rFonts w:eastAsia="Times New Roman" w:cs="Times New Roman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em w:val="none"/>
          <w:lang w:val="ru-RU" w:eastAsia="ru-RU" w:bidi="ar-SA"/>
        </w:rPr>
        <w:t xml:space="preserve">Приборы и аппаратура для измерения и контроля электрических величин» </w:t>
      </w:r>
      <w:r>
        <w:rPr>
          <w:rFonts w:eastAsia="Times New Roman" w:cs="Times New Roman"/>
          <w:b w:val="false"/>
          <w:i w:val="false"/>
          <w:strike w:val="false"/>
          <w:dstrike w:val="false"/>
          <w:outline w:val="false"/>
          <w:shadow w:val="false"/>
          <w:color w:val="000000"/>
          <w:kern w:val="0"/>
          <w:sz w:val="24"/>
          <w:szCs w:val="24"/>
          <w:u w:val="none"/>
          <w:em w:val="none"/>
          <w:lang w:val="ru-RU" w:eastAsia="ru-RU" w:bidi="ar-SA"/>
        </w:rPr>
        <w:t>для нужд филиала ПАО «РусГидро» - «Зейс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none"/>
          <w:em w:val="none"/>
        </w:rPr>
        <w:t>кая ГЭС»</w:t>
      </w:r>
    </w:p>
    <w:p>
      <w:pPr>
        <w:pStyle w:val="Heading4"/>
        <w:numPr>
          <w:ilvl w:val="1"/>
          <w:numId w:val="2"/>
        </w:numPr>
        <w:ind w:left="431" w:hanging="431"/>
        <w:rPr/>
      </w:pPr>
      <w:r>
        <w:rPr/>
        <w:t>Цель использования закупаемой продукции</w:t>
      </w:r>
    </w:p>
    <w:p>
      <w:pPr>
        <w:pStyle w:val="Normal"/>
        <w:bidi w:val="0"/>
        <w:jc w:val="both"/>
        <w:rPr>
          <w:sz w:val="24"/>
          <w:szCs w:val="24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sz w:val="24"/>
          <w:szCs w:val="24"/>
          <w:u w:val="none"/>
          <w:em w:val="none"/>
        </w:rPr>
        <w:t>Целью является выполнение требований нормативно-правовых актов: СТО РусГидро 05.02.160-2026 «Порядок применения и испытания средств защиты, используемых в электроустановках».</w:t>
      </w:r>
    </w:p>
    <w:p>
      <w:pPr>
        <w:pStyle w:val="Normal"/>
        <w:bidi w:val="0"/>
        <w:jc w:val="both"/>
        <w:rPr/>
      </w:pPr>
      <w:r>
        <w:rPr>
          <w:b w:val="false"/>
          <w:i w:val="false"/>
          <w:strike w:val="false"/>
          <w:dstrike w:val="false"/>
          <w:outline w:val="false"/>
          <w:shadow w:val="false"/>
          <w:sz w:val="24"/>
          <w:u w:val="none"/>
          <w:em w:val="none"/>
        </w:rPr>
        <w:tab/>
        <w:t xml:space="preserve">Снижение воздействия вредных и опасных производственных факторов на жизнь и здоровье персонала и минимизация уровня профзаболеваний и травматизма за счет подбора и использования высокоэффективных электрозащитных средств. </w:t>
      </w:r>
    </w:p>
    <w:p>
      <w:pPr>
        <w:pStyle w:val="Normal"/>
        <w:bidi w:val="0"/>
        <w:jc w:val="both"/>
        <w:rPr/>
      </w:pPr>
      <w:r>
        <w:rPr>
          <w:b w:val="false"/>
          <w:i w:val="false"/>
          <w:strike w:val="false"/>
          <w:dstrike w:val="false"/>
          <w:outline w:val="false"/>
          <w:shadow w:val="false"/>
          <w:sz w:val="24"/>
          <w:szCs w:val="24"/>
          <w:u w:val="none"/>
          <w:em w:val="none"/>
        </w:rPr>
        <w:tab/>
      </w:r>
      <w:r>
        <w:rPr>
          <w:sz w:val="24"/>
          <w:szCs w:val="24"/>
        </w:rPr>
        <w:t>Обеспечение личного состава нештатного аварийно-спасательного формирования – аварийно-спасательного звена имуществом в соответствии с Табелем оснащенности.</w:t>
      </w:r>
    </w:p>
    <w:p>
      <w:pPr>
        <w:pStyle w:val="Normal"/>
        <w:bidi w:val="0"/>
        <w:jc w:val="both"/>
        <w:rPr/>
      </w:pPr>
      <w:r>
        <w:rPr>
          <w:sz w:val="24"/>
          <w:szCs w:val="24"/>
        </w:rPr>
        <w:tab/>
        <w:t>Обеспечение объекта средствами спасения на воде.</w:t>
      </w:r>
    </w:p>
    <w:p>
      <w:pPr>
        <w:pStyle w:val="Normal"/>
        <w:bidi w:val="0"/>
        <w:jc w:val="both"/>
        <w:rPr/>
      </w:pPr>
      <w:r>
        <w:rPr>
          <w:sz w:val="24"/>
          <w:szCs w:val="24"/>
        </w:rPr>
        <w:tab/>
        <w:t>Обновление и пополнение взамен материалов с истекшим сроком годности.</w:t>
      </w:r>
    </w:p>
    <w:p>
      <w:pPr>
        <w:pStyle w:val="Normal"/>
        <w:bidi w:val="0"/>
        <w:jc w:val="both"/>
        <w:rPr>
          <w:b w:val="false"/>
          <w:i w:val="false"/>
          <w:i w:val="false"/>
          <w:strike w:val="false"/>
          <w:dstrike w:val="false"/>
          <w:outline w:val="false"/>
          <w:shadow w:val="false"/>
          <w:sz w:val="21"/>
          <w:u w:val="none"/>
          <w:em w:val="none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sz w:val="24"/>
          <w:szCs w:val="24"/>
          <w:u w:val="none"/>
          <w:em w:val="none"/>
        </w:rPr>
        <w:tab/>
      </w:r>
    </w:p>
    <w:p>
      <w:pPr>
        <w:pStyle w:val="Heading1"/>
        <w:numPr>
          <w:ilvl w:val="0"/>
          <w:numId w:val="0"/>
        </w:numPr>
        <w:tabs>
          <w:tab w:val="clear" w:pos="708"/>
          <w:tab w:val="left" w:pos="284" w:leader="none"/>
        </w:tabs>
        <w:ind w:left="0" w:hanging="0"/>
        <w:jc w:val="center"/>
        <w:rPr>
          <w:caps/>
        </w:rPr>
      </w:pPr>
      <w:r>
        <w:rPr>
          <w:lang w:val="ru-RU"/>
        </w:rPr>
        <w:t xml:space="preserve">2. </w:t>
      </w:r>
      <w:r>
        <w:rPr/>
        <w:t>Требования к продукции</w:t>
      </w:r>
    </w:p>
    <w:p>
      <w:pPr>
        <w:pStyle w:val="Normal"/>
        <w:spacing w:before="120" w:after="60"/>
        <w:ind w:left="567" w:hanging="567"/>
        <w:rPr>
          <w:b/>
          <w:sz w:val="24"/>
          <w:szCs w:val="24"/>
        </w:rPr>
      </w:pPr>
      <w:r>
        <w:rPr>
          <w:b/>
          <w:sz w:val="24"/>
          <w:szCs w:val="24"/>
        </w:rPr>
        <w:t>2.1. Требования к объемам и срокам поставки</w:t>
      </w:r>
    </w:p>
    <w:p>
      <w:pPr>
        <w:pStyle w:val="Normal"/>
        <w:spacing w:before="120" w:after="60"/>
        <w:ind w:left="851" w:hanging="567"/>
        <w:rPr>
          <w:b/>
          <w:sz w:val="24"/>
          <w:szCs w:val="24"/>
        </w:rPr>
      </w:pPr>
      <w:r>
        <w:rPr>
          <w:b/>
          <w:sz w:val="24"/>
          <w:szCs w:val="24"/>
        </w:rPr>
        <w:t>2.1.1. Перечень и объем закупаемой продукции</w:t>
      </w:r>
    </w:p>
    <w:p>
      <w:pPr>
        <w:pStyle w:val="Normal"/>
        <w:spacing w:before="120" w:after="60"/>
        <w:rPr>
          <w:b/>
          <w:sz w:val="24"/>
          <w:szCs w:val="24"/>
        </w:rPr>
      </w:pPr>
      <w:r>
        <w:rPr>
          <w:b/>
          <w:sz w:val="24"/>
          <w:szCs w:val="24"/>
        </w:rPr>
        <w:t>Таблица 1. «Перечень и объем закупаемой продукции»</w:t>
      </w:r>
    </w:p>
    <w:tbl>
      <w:tblPr>
        <w:tblW w:w="9214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562"/>
        <w:gridCol w:w="3549"/>
        <w:gridCol w:w="1984"/>
        <w:gridCol w:w="1559"/>
        <w:gridCol w:w="1560"/>
      </w:tblGrid>
      <w:tr>
        <w:trPr>
          <w:trHeight w:val="56" w:hRule="atLeast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продукции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Тип, марка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</w:tr>
      <w:tr>
        <w:trPr>
          <w:trHeight w:val="56" w:hRule="atLeast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5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>
          <w:trHeight w:val="56" w:hRule="atLeast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865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keepNext w:val="true"/>
              <w:widowControl w:val="false"/>
              <w:suppressAutoHyphens w:val="true"/>
              <w:jc w:val="center"/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Наименование продукции, тип, марка, единица измерения, количество в соответствии с Приложением №1 к настоящим техническим требованиям</w:t>
            </w:r>
          </w:p>
        </w:tc>
      </w:tr>
    </w:tbl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keepNext w:val="true"/>
        <w:widowControl w:val="false"/>
        <w:tabs>
          <w:tab w:val="clear" w:pos="708"/>
          <w:tab w:val="left" w:pos="426" w:leader="none"/>
        </w:tabs>
        <w:spacing w:before="120" w:after="6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</w:t>
      </w:r>
      <w:r>
        <w:rPr>
          <w:b/>
          <w:sz w:val="24"/>
          <w:szCs w:val="24"/>
        </w:rPr>
        <w:t>2.1.2. «Требования по срокам поставки продукции»</w:t>
      </w:r>
    </w:p>
    <w:p>
      <w:pPr>
        <w:pStyle w:val="Normal"/>
        <w:keepNext w:val="true"/>
        <w:widowControl w:val="false"/>
        <w:tabs>
          <w:tab w:val="clear" w:pos="708"/>
          <w:tab w:val="left" w:pos="426" w:leader="none"/>
        </w:tabs>
        <w:spacing w:before="120" w:after="60"/>
        <w:rPr>
          <w:sz w:val="24"/>
          <w:szCs w:val="24"/>
        </w:rPr>
      </w:pPr>
      <w:r>
        <w:rPr>
          <w:sz w:val="24"/>
          <w:szCs w:val="24"/>
        </w:rPr>
        <w:t xml:space="preserve">Начало срока поставки: 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2"/>
          <w:szCs w:val="24"/>
          <w:u w:val="none"/>
          <w:em w:val="none"/>
        </w:rPr>
        <w:t>с</w:t>
      </w: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22"/>
          <w:u w:val="none"/>
          <w:em w:val="none"/>
        </w:rPr>
        <w:t xml:space="preserve"> даты заключения договора</w:t>
      </w:r>
    </w:p>
    <w:p>
      <w:pPr>
        <w:pStyle w:val="Normal"/>
        <w:keepNext w:val="true"/>
        <w:widowControl w:val="false"/>
        <w:tabs>
          <w:tab w:val="clear" w:pos="708"/>
          <w:tab w:val="left" w:pos="426" w:leader="none"/>
        </w:tabs>
        <w:spacing w:before="120" w:after="60"/>
        <w:rPr>
          <w:sz w:val="24"/>
          <w:szCs w:val="24"/>
        </w:rPr>
      </w:pPr>
      <w:r>
        <w:rPr>
          <w:sz w:val="24"/>
          <w:szCs w:val="24"/>
        </w:rPr>
        <w:t xml:space="preserve">Срок поставки товара в течение 60 календарных дней после подписания договора </w:t>
      </w:r>
    </w:p>
    <w:p>
      <w:pPr>
        <w:pStyle w:val="Normal"/>
        <w:spacing w:before="120" w:after="60"/>
        <w:rPr>
          <w:b/>
          <w:sz w:val="24"/>
          <w:szCs w:val="24"/>
        </w:rPr>
      </w:pPr>
      <w:r>
        <w:rPr>
          <w:b/>
          <w:sz w:val="24"/>
          <w:szCs w:val="24"/>
        </w:rPr>
        <w:t>2.2. Требования к качеству продукции</w:t>
      </w:r>
    </w:p>
    <w:p>
      <w:pPr>
        <w:pStyle w:val="Normal"/>
        <w:spacing w:before="120" w:after="60"/>
        <w:rPr>
          <w:b/>
          <w:sz w:val="24"/>
          <w:szCs w:val="24"/>
        </w:rPr>
      </w:pPr>
      <w:r>
        <w:rPr>
          <w:b/>
          <w:sz w:val="24"/>
          <w:szCs w:val="24"/>
        </w:rPr>
        <w:t>Таблица 2. «Требования к продукции»</w:t>
      </w:r>
    </w:p>
    <w:p>
      <w:pPr>
        <w:pStyle w:val="Normal"/>
        <w:spacing w:before="120" w:after="60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Style w:val="12"/>
        <w:tblW w:w="9815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847"/>
        <w:gridCol w:w="1274"/>
        <w:gridCol w:w="1020"/>
        <w:gridCol w:w="1420"/>
        <w:gridCol w:w="1249"/>
        <w:gridCol w:w="25"/>
        <w:gridCol w:w="2242"/>
        <w:gridCol w:w="36"/>
        <w:gridCol w:w="1664"/>
        <w:gridCol w:w="36"/>
        <w:gridCol w:w="1"/>
      </w:tblGrid>
      <w:tr>
        <w:trPr/>
        <w:tc>
          <w:tcPr>
            <w:tcW w:w="847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val="ru-RU" w:bidi="ar-SA"/>
              </w:rPr>
              <w:t xml:space="preserve">№ </w:t>
            </w:r>
            <w:r>
              <w:rPr>
                <w:bCs/>
                <w:kern w:val="0"/>
                <w:sz w:val="22"/>
                <w:szCs w:val="22"/>
                <w:lang w:val="ru-RU" w:bidi="ar-SA"/>
              </w:rPr>
              <w:t>п/п</w:t>
            </w:r>
          </w:p>
        </w:tc>
        <w:tc>
          <w:tcPr>
            <w:tcW w:w="2294" w:type="dxa"/>
            <w:gridSpan w:val="2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val="ru-RU" w:bidi="ar-SA"/>
              </w:rPr>
              <w:t>Наименование параметра</w:t>
            </w:r>
          </w:p>
        </w:tc>
        <w:tc>
          <w:tcPr>
            <w:tcW w:w="1420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Cs/>
                <w:sz w:val="22"/>
                <w:szCs w:val="22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Тип, марка</w:t>
            </w:r>
          </w:p>
        </w:tc>
        <w:tc>
          <w:tcPr>
            <w:tcW w:w="1274" w:type="dxa"/>
            <w:gridSpan w:val="2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val="ru-RU" w:bidi="ar-SA"/>
              </w:rPr>
              <w:t>Требование заказчика</w:t>
            </w:r>
          </w:p>
        </w:tc>
        <w:tc>
          <w:tcPr>
            <w:tcW w:w="3979" w:type="dxa"/>
            <w:gridSpan w:val="5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val="ru-RU" w:bidi="ar-SA"/>
              </w:rPr>
              <w:t>Способ подтверждения участником соответствия требованиям</w:t>
            </w:r>
          </w:p>
        </w:tc>
      </w:tr>
      <w:tr>
        <w:trPr/>
        <w:tc>
          <w:tcPr>
            <w:tcW w:w="847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294" w:type="dxa"/>
            <w:gridSpan w:val="2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420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1274" w:type="dxa"/>
            <w:gridSpan w:val="2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278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val="ru-RU" w:bidi="ar-SA"/>
              </w:rPr>
              <w:t>Согласие с требованием / указание характеристик</w:t>
            </w:r>
          </w:p>
        </w:tc>
        <w:tc>
          <w:tcPr>
            <w:tcW w:w="170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val="ru-RU" w:bidi="ar-SA"/>
              </w:rPr>
              <w:t>Предложение участника по характеристикам и параметрам</w:t>
            </w:r>
          </w:p>
        </w:tc>
        <w:tc>
          <w:tcPr>
            <w:tcW w:w="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/>
        <w:tc>
          <w:tcPr>
            <w:tcW w:w="84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kern w:val="0"/>
                <w:sz w:val="22"/>
                <w:szCs w:val="22"/>
                <w:lang w:val="ru-RU" w:bidi="ar-SA"/>
              </w:rPr>
              <w:t>1</w:t>
            </w:r>
          </w:p>
        </w:tc>
        <w:tc>
          <w:tcPr>
            <w:tcW w:w="229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kern w:val="0"/>
                <w:sz w:val="22"/>
                <w:szCs w:val="22"/>
                <w:lang w:val="ru-RU" w:bidi="ar-SA"/>
              </w:rPr>
              <w:t>2</w:t>
            </w:r>
          </w:p>
        </w:tc>
        <w:tc>
          <w:tcPr>
            <w:tcW w:w="142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1274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kern w:val="0"/>
                <w:sz w:val="22"/>
                <w:szCs w:val="22"/>
                <w:lang w:val="ru-RU" w:bidi="ar-SA"/>
              </w:rPr>
              <w:t>3</w:t>
            </w:r>
          </w:p>
        </w:tc>
        <w:tc>
          <w:tcPr>
            <w:tcW w:w="2278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kern w:val="0"/>
                <w:sz w:val="22"/>
                <w:szCs w:val="22"/>
                <w:lang w:val="ru-RU" w:bidi="ar-SA"/>
              </w:rPr>
              <w:t>4</w:t>
            </w:r>
          </w:p>
        </w:tc>
        <w:tc>
          <w:tcPr>
            <w:tcW w:w="170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kern w:val="0"/>
                <w:sz w:val="22"/>
                <w:szCs w:val="22"/>
                <w:lang w:val="ru-RU" w:bidi="ar-SA"/>
              </w:rPr>
              <w:t>5</w:t>
            </w:r>
          </w:p>
        </w:tc>
        <w:tc>
          <w:tcPr>
            <w:tcW w:w="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/>
        <w:tc>
          <w:tcPr>
            <w:tcW w:w="84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kern w:val="0"/>
                <w:sz w:val="22"/>
                <w:szCs w:val="22"/>
                <w:lang w:val="ru-RU" w:bidi="ar-SA"/>
              </w:rPr>
              <w:t>1.</w:t>
            </w:r>
          </w:p>
        </w:tc>
        <w:tc>
          <w:tcPr>
            <w:tcW w:w="4988" w:type="dxa"/>
            <w:gridSpan w:val="5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kern w:val="0"/>
                <w:sz w:val="22"/>
                <w:szCs w:val="22"/>
                <w:lang w:val="ru-RU" w:bidi="ar-SA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  <w:tc>
          <w:tcPr>
            <w:tcW w:w="2278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Cs/>
                <w:sz w:val="22"/>
                <w:szCs w:val="22"/>
              </w:rPr>
            </w:pPr>
            <w:r>
              <w:rPr>
                <w:rFonts w:cs="" w:asciiTheme="majorBidi" w:cstheme="majorBidi" w:hAnsiTheme="majorBidi"/>
                <w:b/>
                <w:bCs/>
                <w:kern w:val="0"/>
                <w:sz w:val="22"/>
                <w:szCs w:val="22"/>
                <w:lang w:val="ru-RU" w:bidi="ar-SA"/>
              </w:rPr>
              <w:t>-//-</w:t>
            </w:r>
          </w:p>
        </w:tc>
        <w:tc>
          <w:tcPr>
            <w:tcW w:w="170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Cs/>
                <w:sz w:val="22"/>
                <w:szCs w:val="22"/>
              </w:rPr>
            </w:pPr>
            <w:r>
              <w:rPr>
                <w:rFonts w:cs="" w:asciiTheme="majorBidi" w:cstheme="majorBidi" w:hAnsiTheme="majorBidi"/>
                <w:b/>
                <w:bCs/>
                <w:kern w:val="0"/>
                <w:sz w:val="22"/>
                <w:szCs w:val="22"/>
                <w:lang w:val="ru-RU" w:bidi="ar-SA"/>
              </w:rPr>
              <w:t>-//-</w:t>
            </w:r>
          </w:p>
        </w:tc>
        <w:tc>
          <w:tcPr>
            <w:tcW w:w="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>
          <w:trHeight w:val="1080" w:hRule="atLeast"/>
        </w:trPr>
        <w:tc>
          <w:tcPr>
            <w:tcW w:w="84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val="ru-RU" w:bidi="ar-SA"/>
              </w:rPr>
              <w:t>1.1.</w:t>
            </w:r>
          </w:p>
        </w:tc>
        <w:tc>
          <w:tcPr>
            <w:tcW w:w="4988" w:type="dxa"/>
            <w:gridSpan w:val="5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Cs/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Наименования параметра, тип, марка в соответствии с Приложением №1 к настоящим техническим требованиям</w:t>
            </w:r>
          </w:p>
        </w:tc>
        <w:tc>
          <w:tcPr>
            <w:tcW w:w="2278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val="ru-RU" w:bidi="ar-SA"/>
              </w:rPr>
              <w:t>указание характеристик</w:t>
            </w:r>
          </w:p>
        </w:tc>
        <w:tc>
          <w:tcPr>
            <w:tcW w:w="170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</w:tc>
        <w:tc>
          <w:tcPr>
            <w:tcW w:w="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/>
        <w:tc>
          <w:tcPr>
            <w:tcW w:w="84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kern w:val="0"/>
                <w:sz w:val="22"/>
                <w:szCs w:val="22"/>
                <w:lang w:val="ru-RU" w:bidi="ar-SA"/>
              </w:rPr>
              <w:t>2.</w:t>
            </w:r>
          </w:p>
        </w:tc>
        <w:tc>
          <w:tcPr>
            <w:tcW w:w="4988" w:type="dxa"/>
            <w:gridSpan w:val="5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kern w:val="0"/>
                <w:sz w:val="22"/>
                <w:szCs w:val="22"/>
                <w:lang w:val="ru-RU" w:bidi="ar-SA"/>
              </w:rPr>
              <w:t>Требования к доставке,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2278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Cs/>
                <w:sz w:val="22"/>
                <w:szCs w:val="22"/>
              </w:rPr>
            </w:pPr>
            <w:r>
              <w:rPr>
                <w:rFonts w:cs="" w:asciiTheme="majorBidi" w:cstheme="majorBidi" w:hAnsiTheme="majorBidi"/>
                <w:b/>
                <w:bCs/>
                <w:kern w:val="0"/>
                <w:sz w:val="22"/>
                <w:szCs w:val="22"/>
                <w:lang w:val="ru-RU" w:bidi="ar-SA"/>
              </w:rPr>
              <w:t>-//-</w:t>
            </w:r>
          </w:p>
        </w:tc>
        <w:tc>
          <w:tcPr>
            <w:tcW w:w="170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Cs/>
                <w:sz w:val="22"/>
                <w:szCs w:val="22"/>
              </w:rPr>
            </w:pPr>
            <w:r>
              <w:rPr>
                <w:rFonts w:cs="" w:asciiTheme="majorBidi" w:cstheme="majorBidi" w:hAnsiTheme="majorBidi"/>
                <w:b/>
                <w:bCs/>
                <w:kern w:val="0"/>
                <w:sz w:val="22"/>
                <w:szCs w:val="22"/>
                <w:lang w:val="ru-RU" w:bidi="ar-SA"/>
              </w:rPr>
              <w:t>-//-</w:t>
            </w:r>
          </w:p>
        </w:tc>
        <w:tc>
          <w:tcPr>
            <w:tcW w:w="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/>
        <w:tc>
          <w:tcPr>
            <w:tcW w:w="84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val="ru-RU" w:bidi="ar-SA"/>
              </w:rPr>
              <w:t>2.1.</w:t>
            </w:r>
          </w:p>
        </w:tc>
        <w:tc>
          <w:tcPr>
            <w:tcW w:w="127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val="ru-RU" w:bidi="ar-SA"/>
              </w:rPr>
              <w:t>Место поставки</w:t>
            </w:r>
          </w:p>
        </w:tc>
        <w:tc>
          <w:tcPr>
            <w:tcW w:w="3689" w:type="dxa"/>
            <w:gridSpan w:val="3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До склада филиала ПАО «РусГидро» - «Зейская ГЭС», находящегося по адресу: 676244, Амурская область, г. Зея, ул.Магистральная, 1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</w:tc>
        <w:tc>
          <w:tcPr>
            <w:tcW w:w="226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val="ru-RU" w:bidi="ar-SA"/>
              </w:rPr>
              <w:t>Согласие с требованием</w:t>
            </w:r>
          </w:p>
        </w:tc>
        <w:tc>
          <w:tcPr>
            <w:tcW w:w="170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Cs/>
                <w:sz w:val="22"/>
                <w:szCs w:val="22"/>
              </w:rPr>
            </w:pPr>
            <w:r>
              <w:rPr>
                <w:rFonts w:cs="" w:asciiTheme="majorBidi" w:cstheme="majorBidi" w:hAnsiTheme="majorBidi"/>
                <w:b/>
                <w:bCs/>
                <w:kern w:val="0"/>
                <w:sz w:val="22"/>
                <w:szCs w:val="22"/>
                <w:lang w:val="ru-RU" w:bidi="ar-SA"/>
              </w:rPr>
              <w:t>-//-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/>
        <w:tc>
          <w:tcPr>
            <w:tcW w:w="84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val="ru-RU" w:bidi="ar-SA"/>
              </w:rPr>
              <w:t>2.2</w:t>
            </w:r>
          </w:p>
        </w:tc>
        <w:tc>
          <w:tcPr>
            <w:tcW w:w="127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val="ru-RU" w:bidi="ar-SA"/>
              </w:rPr>
              <w:t>Условия доставки, упаковки, транспортировки</w:t>
            </w:r>
          </w:p>
        </w:tc>
        <w:tc>
          <w:tcPr>
            <w:tcW w:w="3689" w:type="dxa"/>
            <w:gridSpan w:val="3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Товар должен отгружаться участником в таре и упаковке, обеспечивающих его полную сохранность от всякого рода повреждений и порчи с учетом возможных перегрузок, и длительного хранения</w:t>
            </w:r>
          </w:p>
        </w:tc>
        <w:tc>
          <w:tcPr>
            <w:tcW w:w="226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val="ru-RU" w:bidi="ar-SA"/>
              </w:rPr>
              <w:t>Согласие с требованием</w:t>
            </w:r>
          </w:p>
        </w:tc>
        <w:tc>
          <w:tcPr>
            <w:tcW w:w="170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Cs/>
                <w:sz w:val="22"/>
                <w:szCs w:val="22"/>
              </w:rPr>
            </w:pPr>
            <w:r>
              <w:rPr>
                <w:rFonts w:cs="" w:asciiTheme="majorBidi" w:cstheme="majorBidi" w:hAnsiTheme="majorBidi"/>
                <w:b/>
                <w:bCs/>
                <w:kern w:val="0"/>
                <w:sz w:val="22"/>
                <w:szCs w:val="22"/>
                <w:lang w:val="ru-RU" w:bidi="ar-SA"/>
              </w:rPr>
              <w:t>-//-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/>
        <w:tc>
          <w:tcPr>
            <w:tcW w:w="84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</w:tc>
        <w:tc>
          <w:tcPr>
            <w:tcW w:w="127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</w:tc>
        <w:tc>
          <w:tcPr>
            <w:tcW w:w="3689" w:type="dxa"/>
            <w:gridSpan w:val="3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</w:p>
        </w:tc>
        <w:tc>
          <w:tcPr>
            <w:tcW w:w="2267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</w:p>
        </w:tc>
        <w:tc>
          <w:tcPr>
            <w:tcW w:w="170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cs="" w:asciiTheme="majorBidi" w:cstheme="majorBidi" w:hAnsiTheme="majorBidi"/>
                <w:b/>
                <w:bCs/>
                <w:sz w:val="22"/>
                <w:szCs w:val="22"/>
              </w:rPr>
            </w:pPr>
            <w:r>
              <w:rPr>
                <w:rFonts w:cs="" w:asciiTheme="majorBidi" w:cstheme="majorBidi" w:hAnsiTheme="majorBidi"/>
                <w:b/>
                <w:bCs/>
                <w:sz w:val="22"/>
                <w:szCs w:val="22"/>
              </w:rPr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/>
        <w:tc>
          <w:tcPr>
            <w:tcW w:w="84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val="ru-RU" w:bidi="ar-SA"/>
              </w:rPr>
              <w:t>3.</w:t>
            </w:r>
          </w:p>
        </w:tc>
        <w:tc>
          <w:tcPr>
            <w:tcW w:w="8930" w:type="dxa"/>
            <w:gridSpan w:val="8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kern w:val="0"/>
                <w:lang w:val="ru-RU" w:bidi="ar-SA"/>
              </w:rPr>
            </w:pPr>
            <w:r>
              <w:rPr>
                <w:rFonts w:cs="" w:cstheme="majorBidi"/>
                <w:b/>
                <w:bCs/>
                <w:kern w:val="0"/>
                <w:sz w:val="22"/>
                <w:szCs w:val="22"/>
                <w:lang w:val="ru-RU" w:bidi="ar-SA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>
          <w:trHeight w:val="1106" w:hRule="atLeast"/>
        </w:trPr>
        <w:tc>
          <w:tcPr>
            <w:tcW w:w="84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kern w:val="0"/>
                <w:sz w:val="22"/>
                <w:szCs w:val="22"/>
                <w:lang w:val="ru-RU" w:bidi="ar-SA"/>
              </w:rPr>
              <w:t>3.1.</w:t>
            </w:r>
          </w:p>
        </w:tc>
        <w:tc>
          <w:tcPr>
            <w:tcW w:w="8930" w:type="dxa"/>
            <w:gridSpan w:val="8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При поставке материалы должны быть укомплектованы паспортом, руководством (инструкцией) по эксплуатации, уходу и ремонту, которое содержит информацию об условиях эксплуатации, правилах ухода и ремонта за изделиями, маркировкой.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В руководстве по эксплуатации материалов должны быть указаны сроки эксплуатации изделия, гарантийный срок и срок хранения.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 xml:space="preserve">Поставщик при поставке, должен предоставить </w:t>
            </w:r>
            <w:r>
              <w:rPr>
                <w:i/>
                <w:kern w:val="0"/>
                <w:sz w:val="22"/>
                <w:szCs w:val="22"/>
                <w:lang w:val="ru-RU" w:bidi="ar-SA"/>
              </w:rPr>
              <w:t>заверенные собственной печатью сертификаты соответствия</w:t>
            </w:r>
            <w:r>
              <w:rPr>
                <w:kern w:val="0"/>
                <w:sz w:val="22"/>
                <w:szCs w:val="22"/>
                <w:lang w:val="ru-RU" w:bidi="ar-SA"/>
              </w:rPr>
              <w:t>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Документация предоставляется на этапе исполнения договора.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sz w:val="22"/>
                <w:szCs w:val="22"/>
              </w:rPr>
            </w:pPr>
            <w:r>
              <w:rPr>
                <w:kern w:val="0"/>
                <w:sz w:val="22"/>
                <w:szCs w:val="22"/>
                <w:lang w:val="ru-RU" w:bidi="ar-SA"/>
              </w:rPr>
              <w:t>Документы, подтверждающие качество, предоставляются вместе с товаром.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rFonts w:cs="" w:asciiTheme="majorBidi" w:cstheme="majorBidi" w:hAnsiTheme="majorBidi"/>
                <w:bCs/>
                <w:sz w:val="22"/>
                <w:szCs w:val="22"/>
              </w:rPr>
            </w:pPr>
            <w:r>
              <w:rPr>
                <w:rFonts w:cs="" w:asciiTheme="majorBidi" w:cstheme="majorBidi" w:hAnsiTheme="majorBidi"/>
                <w:bCs/>
                <w:sz w:val="22"/>
                <w:szCs w:val="22"/>
              </w:rPr>
            </w:r>
          </w:p>
        </w:tc>
        <w:tc>
          <w:tcPr>
            <w:tcW w:w="36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  <w:tc>
          <w:tcPr>
            <w:tcW w:w="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/>
        <w:tc>
          <w:tcPr>
            <w:tcW w:w="84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kern w:val="0"/>
                <w:sz w:val="22"/>
                <w:szCs w:val="22"/>
                <w:lang w:val="ru-RU" w:bidi="ar-SA"/>
              </w:rPr>
              <w:t>4.</w:t>
            </w:r>
          </w:p>
        </w:tc>
        <w:tc>
          <w:tcPr>
            <w:tcW w:w="4988" w:type="dxa"/>
            <w:gridSpan w:val="5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kern w:val="0"/>
                <w:sz w:val="22"/>
                <w:szCs w:val="22"/>
                <w:lang w:val="ru-RU" w:bidi="ar-SA"/>
              </w:rPr>
              <w:t>Иные условия</w:t>
            </w:r>
          </w:p>
        </w:tc>
        <w:tc>
          <w:tcPr>
            <w:tcW w:w="2278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Cs/>
                <w:sz w:val="22"/>
                <w:szCs w:val="22"/>
              </w:rPr>
            </w:pPr>
            <w:r>
              <w:rPr>
                <w:rFonts w:cs="" w:asciiTheme="majorBidi" w:cstheme="majorBidi" w:hAnsiTheme="majorBidi"/>
                <w:b/>
                <w:bCs/>
                <w:kern w:val="0"/>
                <w:sz w:val="22"/>
                <w:szCs w:val="22"/>
                <w:lang w:val="ru-RU" w:bidi="ar-SA"/>
              </w:rPr>
              <w:t>-//-</w:t>
            </w:r>
          </w:p>
        </w:tc>
        <w:tc>
          <w:tcPr>
            <w:tcW w:w="170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Cs/>
                <w:sz w:val="22"/>
                <w:szCs w:val="22"/>
              </w:rPr>
            </w:pPr>
            <w:r>
              <w:rPr>
                <w:rFonts w:cs="" w:asciiTheme="majorBidi" w:cstheme="majorBidi" w:hAnsiTheme="majorBidi"/>
                <w:b/>
                <w:bCs/>
                <w:kern w:val="0"/>
                <w:sz w:val="22"/>
                <w:szCs w:val="22"/>
                <w:lang w:val="ru-RU" w:bidi="ar-SA"/>
              </w:rPr>
              <w:t>-//-</w:t>
            </w:r>
          </w:p>
        </w:tc>
        <w:tc>
          <w:tcPr>
            <w:tcW w:w="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/>
        <w:tc>
          <w:tcPr>
            <w:tcW w:w="84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kern w:val="0"/>
                <w:lang w:val="ru-RU" w:bidi="ar-SA"/>
              </w:rPr>
            </w:pPr>
            <w:r>
              <w:rPr>
                <w:bCs/>
                <w:kern w:val="0"/>
                <w:sz w:val="22"/>
                <w:szCs w:val="22"/>
                <w:lang w:val="ru-RU" w:bidi="ar-SA"/>
              </w:rPr>
              <w:t>4.1</w:t>
            </w:r>
          </w:p>
        </w:tc>
        <w:tc>
          <w:tcPr>
            <w:tcW w:w="4988" w:type="dxa"/>
            <w:gridSpan w:val="5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cs="" w:cstheme="majorBidi"/>
                <w:bCs/>
                <w:kern w:val="0"/>
                <w:sz w:val="22"/>
                <w:szCs w:val="22"/>
                <w:lang w:val="ru-RU" w:bidi="ar-SA"/>
              </w:rPr>
              <w:t>Товар должен быть новым, не бывшим в употреблении, пригодным для использования по своему назначению. Поставщик гарантирует, что Товар принадлежит ему на законном основании, в споре, залоге или под арестом не состоит, правами третьих лиц не обременен.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bCs/>
                <w:kern w:val="0"/>
                <w:sz w:val="22"/>
                <w:szCs w:val="22"/>
                <w:lang w:val="ru-RU" w:bidi="ar-SA"/>
              </w:rPr>
              <w:t>Срок изготовления товара должен быть не ранее 01.06.2025</w:t>
            </w:r>
          </w:p>
        </w:tc>
        <w:tc>
          <w:tcPr>
            <w:tcW w:w="2278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kern w:val="0"/>
                <w:lang w:val="ru-RU" w:bidi="ar-SA"/>
              </w:rPr>
            </w:pPr>
            <w:r>
              <w:rPr>
                <w:bCs/>
                <w:kern w:val="0"/>
                <w:sz w:val="22"/>
                <w:szCs w:val="22"/>
                <w:lang w:val="ru-RU" w:bidi="ar-SA"/>
              </w:rPr>
              <w:t>Согласие с требованием</w:t>
            </w:r>
          </w:p>
        </w:tc>
        <w:tc>
          <w:tcPr>
            <w:tcW w:w="170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bCs/>
                <w:sz w:val="22"/>
                <w:szCs w:val="22"/>
              </w:rPr>
            </w:pPr>
            <w:r>
              <w:rPr>
                <w:rFonts w:cs="" w:asciiTheme="majorBidi" w:cstheme="majorBidi" w:hAnsiTheme="majorBidi"/>
                <w:b/>
                <w:bCs/>
                <w:kern w:val="0"/>
                <w:sz w:val="22"/>
                <w:szCs w:val="22"/>
                <w:lang w:val="ru-RU" w:bidi="ar-SA"/>
              </w:rPr>
              <w:t>-//-</w:t>
            </w:r>
          </w:p>
        </w:tc>
        <w:tc>
          <w:tcPr>
            <w:tcW w:w="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/>
        <w:tc>
          <w:tcPr>
            <w:tcW w:w="84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kern w:val="0"/>
                <w:lang w:val="ru-RU" w:bidi="ar-SA"/>
              </w:rPr>
            </w:pPr>
            <w:r>
              <w:rPr>
                <w:bCs/>
                <w:kern w:val="0"/>
                <w:sz w:val="22"/>
                <w:szCs w:val="22"/>
                <w:lang w:val="ru-RU" w:bidi="ar-SA"/>
              </w:rPr>
              <w:t>4.2</w:t>
            </w:r>
          </w:p>
        </w:tc>
        <w:tc>
          <w:tcPr>
            <w:tcW w:w="4988" w:type="dxa"/>
            <w:gridSpan w:val="5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cs="" w:cstheme="majorBidi"/>
                <w:bCs/>
                <w:kern w:val="0"/>
                <w:sz w:val="22"/>
                <w:szCs w:val="22"/>
                <w:lang w:val="ru-RU" w:bidi="ar-SA"/>
              </w:rPr>
              <w:t>Качество, комплектность, количество и ассортимент поставляемого Товара должны соответствовать требованиям Заказчика, Договора.</w:t>
            </w:r>
          </w:p>
        </w:tc>
        <w:tc>
          <w:tcPr>
            <w:tcW w:w="2278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kern w:val="0"/>
                <w:lang w:val="ru-RU" w:bidi="ar-SA"/>
              </w:rPr>
            </w:pPr>
            <w:r>
              <w:rPr>
                <w:bCs/>
                <w:kern w:val="0"/>
                <w:sz w:val="22"/>
                <w:szCs w:val="22"/>
                <w:lang w:val="ru-RU" w:bidi="ar-SA"/>
              </w:rPr>
              <w:t>Согласие с требованием</w:t>
            </w:r>
          </w:p>
        </w:tc>
        <w:tc>
          <w:tcPr>
            <w:tcW w:w="170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cs="" w:asciiTheme="majorBidi" w:cstheme="majorBidi" w:hAnsiTheme="majorBidi"/>
                <w:b/>
                <w:bCs/>
                <w:sz w:val="22"/>
                <w:szCs w:val="22"/>
              </w:rPr>
            </w:pPr>
            <w:r>
              <w:rPr>
                <w:rFonts w:cs="" w:asciiTheme="majorBidi" w:cstheme="majorBidi" w:hAnsiTheme="majorBidi"/>
                <w:b/>
                <w:bCs/>
                <w:kern w:val="0"/>
                <w:sz w:val="22"/>
                <w:szCs w:val="22"/>
                <w:lang w:val="ru-RU" w:bidi="ar-SA"/>
              </w:rPr>
              <w:t>-//-</w:t>
            </w:r>
          </w:p>
        </w:tc>
        <w:tc>
          <w:tcPr>
            <w:tcW w:w="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/>
        <w:tc>
          <w:tcPr>
            <w:tcW w:w="84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kern w:val="0"/>
                <w:lang w:val="ru-RU" w:bidi="ar-SA"/>
              </w:rPr>
            </w:pPr>
            <w:r>
              <w:rPr>
                <w:bCs/>
                <w:kern w:val="0"/>
                <w:sz w:val="22"/>
                <w:szCs w:val="22"/>
                <w:lang w:val="ru-RU" w:bidi="ar-SA"/>
              </w:rPr>
              <w:t>4.4.</w:t>
            </w:r>
          </w:p>
        </w:tc>
        <w:tc>
          <w:tcPr>
            <w:tcW w:w="4988" w:type="dxa"/>
            <w:gridSpan w:val="5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cs="" w:cstheme="majorBidi"/>
                <w:bCs/>
                <w:kern w:val="0"/>
                <w:sz w:val="22"/>
                <w:szCs w:val="22"/>
                <w:lang w:val="ru-RU" w:bidi="ar-SA"/>
              </w:rPr>
              <w:t>Поставщиком должны быть соблюдены требования к маркировке материалов, соответствующей требованиям нормативной документации к маркировке (ГОСТ 12.4.115, ГОСТ 10581)</w:t>
            </w:r>
          </w:p>
        </w:tc>
        <w:tc>
          <w:tcPr>
            <w:tcW w:w="2278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kern w:val="0"/>
                <w:lang w:val="ru-RU" w:bidi="ar-SA"/>
              </w:rPr>
            </w:pPr>
            <w:r>
              <w:rPr>
                <w:bCs/>
                <w:kern w:val="0"/>
                <w:sz w:val="22"/>
                <w:szCs w:val="22"/>
                <w:lang w:val="ru-RU" w:bidi="ar-SA"/>
              </w:rPr>
              <w:t>Согласие с требованием</w:t>
            </w:r>
          </w:p>
        </w:tc>
        <w:tc>
          <w:tcPr>
            <w:tcW w:w="170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cs="" w:asciiTheme="majorBidi" w:cstheme="majorBidi" w:hAnsiTheme="majorBidi"/>
                <w:b/>
                <w:bCs/>
                <w:sz w:val="22"/>
                <w:szCs w:val="22"/>
              </w:rPr>
            </w:pPr>
            <w:r>
              <w:rPr>
                <w:rFonts w:cs="" w:asciiTheme="majorBidi" w:cstheme="majorBidi" w:hAnsiTheme="majorBidi"/>
                <w:b/>
                <w:bCs/>
                <w:kern w:val="0"/>
                <w:sz w:val="22"/>
                <w:szCs w:val="22"/>
                <w:lang w:val="ru-RU" w:bidi="ar-SA"/>
              </w:rPr>
              <w:t>-//-</w:t>
            </w:r>
          </w:p>
        </w:tc>
        <w:tc>
          <w:tcPr>
            <w:tcW w:w="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/>
        <w:tc>
          <w:tcPr>
            <w:tcW w:w="84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kern w:val="0"/>
                <w:lang w:val="ru-RU" w:bidi="ar-SA"/>
              </w:rPr>
            </w:pPr>
            <w:r>
              <w:rPr>
                <w:bCs/>
                <w:kern w:val="0"/>
                <w:sz w:val="22"/>
                <w:szCs w:val="22"/>
                <w:lang w:val="ru-RU" w:bidi="ar-SA"/>
              </w:rPr>
              <w:t>4.5.</w:t>
            </w:r>
          </w:p>
        </w:tc>
        <w:tc>
          <w:tcPr>
            <w:tcW w:w="4988" w:type="dxa"/>
            <w:gridSpan w:val="5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cs="" w:cstheme="majorBidi"/>
                <w:bCs/>
                <w:kern w:val="0"/>
                <w:sz w:val="22"/>
                <w:szCs w:val="22"/>
                <w:lang w:val="ru-RU" w:bidi="ar-SA"/>
              </w:rPr>
              <w:t>Транспортируемые материалы должны быть сложены, упакованы, рассортированы по видам, защитным свойствам.</w:t>
            </w:r>
          </w:p>
        </w:tc>
        <w:tc>
          <w:tcPr>
            <w:tcW w:w="2278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kern w:val="0"/>
                <w:lang w:val="ru-RU" w:bidi="ar-SA"/>
              </w:rPr>
            </w:pPr>
            <w:r>
              <w:rPr>
                <w:bCs/>
                <w:kern w:val="0"/>
                <w:sz w:val="22"/>
                <w:szCs w:val="22"/>
                <w:lang w:val="ru-RU" w:bidi="ar-SA"/>
              </w:rPr>
              <w:t>Согласие с требованием</w:t>
            </w:r>
          </w:p>
        </w:tc>
        <w:tc>
          <w:tcPr>
            <w:tcW w:w="170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cs="" w:asciiTheme="majorBidi" w:cstheme="majorBidi" w:hAnsiTheme="majorBidi"/>
                <w:b/>
                <w:bCs/>
                <w:sz w:val="22"/>
                <w:szCs w:val="22"/>
              </w:rPr>
            </w:pPr>
            <w:r>
              <w:rPr>
                <w:rFonts w:cs="" w:asciiTheme="majorBidi" w:cstheme="majorBidi" w:hAnsiTheme="majorBidi"/>
                <w:b/>
                <w:bCs/>
                <w:kern w:val="0"/>
                <w:sz w:val="22"/>
                <w:szCs w:val="22"/>
                <w:lang w:val="ru-RU" w:bidi="ar-SA"/>
              </w:rPr>
              <w:t>-//-</w:t>
            </w:r>
          </w:p>
        </w:tc>
        <w:tc>
          <w:tcPr>
            <w:tcW w:w="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/>
        <w:tc>
          <w:tcPr>
            <w:tcW w:w="84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kern w:val="0"/>
                <w:lang w:val="ru-RU" w:bidi="ar-SA"/>
              </w:rPr>
            </w:pPr>
            <w:r>
              <w:rPr>
                <w:bCs/>
                <w:kern w:val="0"/>
                <w:sz w:val="22"/>
                <w:szCs w:val="22"/>
                <w:lang w:val="ru-RU" w:bidi="ar-SA"/>
              </w:rPr>
              <w:t>4.6.</w:t>
            </w:r>
          </w:p>
        </w:tc>
        <w:tc>
          <w:tcPr>
            <w:tcW w:w="4988" w:type="dxa"/>
            <w:gridSpan w:val="5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cs="" w:cstheme="majorBidi"/>
                <w:bCs/>
                <w:kern w:val="0"/>
                <w:sz w:val="22"/>
                <w:szCs w:val="22"/>
                <w:lang w:val="ru-RU" w:bidi="ar-SA"/>
              </w:rPr>
              <w:t>Предоставление эквивалента возможно при условии полной совместимости по техническим характеристикам и конструктивным параметрам.</w:t>
            </w:r>
            <w:bookmarkStart w:id="0" w:name="_GoBack"/>
            <w:bookmarkEnd w:id="0"/>
          </w:p>
        </w:tc>
        <w:tc>
          <w:tcPr>
            <w:tcW w:w="2278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/>
                <w:kern w:val="0"/>
                <w:lang w:val="ru-RU" w:bidi="ar-SA"/>
              </w:rPr>
            </w:pPr>
            <w:r>
              <w:rPr>
                <w:bCs/>
                <w:kern w:val="0"/>
                <w:sz w:val="22"/>
                <w:szCs w:val="22"/>
                <w:lang w:val="ru-RU" w:bidi="ar-SA"/>
              </w:rPr>
              <w:t>Согласие с требованием</w:t>
            </w:r>
          </w:p>
        </w:tc>
        <w:tc>
          <w:tcPr>
            <w:tcW w:w="1700" w:type="dxa"/>
            <w:gridSpan w:val="2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cs="" w:asciiTheme="majorBidi" w:cstheme="majorBidi" w:hAnsiTheme="majorBidi"/>
                <w:b/>
                <w:bCs/>
                <w:sz w:val="22"/>
                <w:szCs w:val="22"/>
              </w:rPr>
            </w:pPr>
            <w:r>
              <w:rPr>
                <w:rFonts w:cs="" w:asciiTheme="majorBidi" w:cstheme="majorBidi" w:hAnsiTheme="majorBidi"/>
                <w:b/>
                <w:bCs/>
                <w:kern w:val="0"/>
                <w:sz w:val="22"/>
                <w:szCs w:val="22"/>
                <w:lang w:val="ru-RU" w:bidi="ar-SA"/>
              </w:rPr>
              <w:t>-//-</w:t>
            </w:r>
          </w:p>
        </w:tc>
        <w:tc>
          <w:tcPr>
            <w:tcW w:w="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</w:tbl>
    <w:p>
      <w:pPr>
        <w:pStyle w:val="Normal"/>
        <w:spacing w:before="120" w:after="60"/>
        <w:jc w:val="center"/>
        <w:rPr>
          <w:b/>
        </w:rPr>
      </w:pPr>
      <w:r>
        <w:rPr>
          <w:b/>
        </w:rPr>
      </w:r>
    </w:p>
    <w:p>
      <w:pPr>
        <w:pStyle w:val="Normal"/>
        <w:spacing w:before="120" w:after="60"/>
        <w:jc w:val="center"/>
        <w:rPr>
          <w:b/>
        </w:rPr>
      </w:pPr>
      <w:r>
        <w:rPr>
          <w:b/>
        </w:rPr>
        <w:t>3. Требования к документации по ценообразованию на этапе закупки</w:t>
      </w:r>
    </w:p>
    <w:p>
      <w:pPr>
        <w:pStyle w:val="Normal"/>
        <w:numPr>
          <w:ilvl w:val="1"/>
          <w:numId w:val="4"/>
        </w:numPr>
        <w:spacing w:before="120" w:after="60"/>
        <w:ind w:left="567" w:hanging="567"/>
        <w:jc w:val="both"/>
        <w:rPr>
          <w:bCs/>
          <w:iCs/>
          <w:sz w:val="24"/>
          <w:szCs w:val="24"/>
          <w:lang w:eastAsia="x-none"/>
        </w:rPr>
      </w:pPr>
      <w:r>
        <w:rPr>
          <w:bCs/>
          <w:iCs/>
          <w:sz w:val="24"/>
          <w:szCs w:val="24"/>
          <w:lang w:eastAsia="x-none"/>
        </w:rPr>
        <w:t>В обоснование стоимости своей заявки Участник предоставляет Коммерческое предложение по форме (с учетом прилагаемой к ней инструкции по заполнению), приведенной в Документации о закупке.</w:t>
      </w:r>
    </w:p>
    <w:p>
      <w:pPr>
        <w:pStyle w:val="Normal"/>
        <w:numPr>
          <w:ilvl w:val="1"/>
          <w:numId w:val="4"/>
        </w:numPr>
        <w:spacing w:before="120" w:after="60"/>
        <w:ind w:left="567" w:hanging="567"/>
        <w:jc w:val="both"/>
        <w:rPr>
          <w:bCs/>
          <w:iCs/>
          <w:sz w:val="24"/>
          <w:szCs w:val="24"/>
          <w:lang w:eastAsia="x-none"/>
        </w:rPr>
      </w:pPr>
      <w:r>
        <w:rPr>
          <w:bCs/>
          <w:iCs/>
          <w:sz w:val="24"/>
          <w:szCs w:val="24"/>
          <w:lang w:eastAsia="x-none"/>
        </w:rPr>
        <w:t>Дополнительные документы по ценообразованию в состав заявки не включаются.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rPr>
          <w:sz w:val="24"/>
          <w:szCs w:val="24"/>
        </w:rPr>
      </w:pPr>
      <w:r>
        <w:rPr/>
      </w:r>
    </w:p>
    <w:sectPr>
      <w:footerReference w:type="default" r:id="rId2"/>
      <w:type w:val="nextPage"/>
      <w:pgSz w:w="11906" w:h="16838"/>
      <w:pgMar w:left="1701" w:right="850" w:gutter="0" w:header="0" w:top="1134" w:footer="708" w:bottom="1134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</w:docPartObj>
      <w:id w:val="1369096763"/>
    </w:sdtPr>
    <w:sdtContent>
      <w:p>
        <w:pPr>
          <w:pStyle w:val="Footer"/>
          <w:jc w:val="center"/>
          <w:rPr>
            <w:sz w:val="24"/>
            <w:szCs w:val="24"/>
          </w:rPr>
        </w:pPr>
        <w:r>
          <w:rPr/>
          <w:fldChar w:fldCharType="begin"/>
        </w:r>
        <w:r>
          <w:rPr/>
          <w:instrText xml:space="preserve"> PAGE </w:instrText>
        </w:r>
        <w:r>
          <w:rPr/>
          <w:fldChar w:fldCharType="separate"/>
        </w:r>
        <w:r>
          <w:rPr/>
          <w:t>5</w:t>
        </w:r>
        <w:r>
          <w:rPr/>
          <w:fldChar w:fldCharType="end"/>
        </w:r>
      </w:p>
    </w:sdtContent>
  </w:sdt>
  <w:p>
    <w:pPr>
      <w:pStyle w:val="Footer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kern w:val="0"/>
        <w:effect w:val="none"/>
        <w:szCs w:val="28"/>
        <w:iCs w:val="false"/>
        <w:bCs w:val="false"/>
        <w:em w:val="none"/>
        <w:vanish w:val="false"/>
        <w:rFonts w:ascii="Times New Roman" w:hAnsi="Times New Roman" w:cs="Times New Roman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4">
    <w:lvl w:ilvl="0">
      <w:start w:val="3"/>
      <w:numFmt w:val="decimal"/>
      <w:lvlText w:val="%1.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40" w:hanging="42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180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10"/>
  <w:revisionView w:insDel="0" w:formatting="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221f49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next w:val="Normal"/>
    <w:link w:val="1"/>
    <w:qFormat/>
    <w:rsid w:val="00221f49"/>
    <w:pPr>
      <w:numPr>
        <w:ilvl w:val="0"/>
      </w:numPr>
      <w:outlineLvl w:val="0"/>
    </w:pPr>
    <w:rPr>
      <w:sz w:val="28"/>
      <w:szCs w:val="28"/>
    </w:rPr>
  </w:style>
  <w:style w:type="paragraph" w:styleId="Heading3">
    <w:name w:val="Heading 3"/>
    <w:basedOn w:val="Normal"/>
    <w:next w:val="Normal"/>
    <w:link w:val="3"/>
    <w:autoRedefine/>
    <w:qFormat/>
    <w:rsid w:val="00221f49"/>
    <w:pPr>
      <w:keepNext w:val="true"/>
      <w:numPr>
        <w:ilvl w:val="2"/>
        <w:numId w:val="2"/>
      </w:numPr>
      <w:spacing w:before="120" w:after="6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Heading4">
    <w:name w:val="Heading 4"/>
    <w:basedOn w:val="Heading3"/>
    <w:next w:val="Normal"/>
    <w:link w:val="4"/>
    <w:qFormat/>
    <w:rsid w:val="00221f49"/>
    <w:pPr>
      <w:numPr>
        <w:ilvl w:val="1"/>
      </w:numPr>
      <w:outlineLvl w:val="3"/>
    </w:pPr>
    <w:rPr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uiPriority w:val="99"/>
    <w:rsid w:val="00221f49"/>
    <w:rPr>
      <w:color w:val="0000FF"/>
      <w:u w:val="single"/>
    </w:rPr>
  </w:style>
  <w:style w:type="character" w:styleId="Style6" w:customStyle="1">
    <w:name w:val="Верхний колонтитул Знак"/>
    <w:basedOn w:val="DefaultParagraphFont"/>
    <w:uiPriority w:val="99"/>
    <w:qFormat/>
    <w:rsid w:val="00221f49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Style7" w:customStyle="1">
    <w:name w:val="Нижний колонтитул Знак"/>
    <w:basedOn w:val="DefaultParagraphFont"/>
    <w:uiPriority w:val="99"/>
    <w:qFormat/>
    <w:rsid w:val="00221f49"/>
    <w:rPr>
      <w:rFonts w:ascii="Times New Roman" w:hAnsi="Times New Roman" w:eastAsia="Times New Roman" w:cs="Times New Roman"/>
      <w:sz w:val="28"/>
      <w:szCs w:val="28"/>
      <w:lang w:eastAsia="ru-RU"/>
    </w:rPr>
  </w:style>
  <w:style w:type="character" w:styleId="1" w:customStyle="1">
    <w:name w:val="Заголовок 1 Знак"/>
    <w:basedOn w:val="DefaultParagraphFont"/>
    <w:qFormat/>
    <w:rsid w:val="00221f49"/>
    <w:rPr>
      <w:rFonts w:ascii="Times New Roman" w:hAnsi="Times New Roman" w:eastAsia="Calibri" w:cs="Times New Roman"/>
      <w:b/>
      <w:sz w:val="28"/>
      <w:szCs w:val="28"/>
      <w:lang w:val="x-none" w:eastAsia="x-none"/>
    </w:rPr>
  </w:style>
  <w:style w:type="character" w:styleId="3" w:customStyle="1">
    <w:name w:val="Заголовок 3 Знак"/>
    <w:basedOn w:val="DefaultParagraphFont"/>
    <w:qFormat/>
    <w:rsid w:val="00221f49"/>
    <w:rPr>
      <w:rFonts w:ascii="Times New Roman" w:hAnsi="Times New Roman" w:eastAsia="Calibri" w:cs="Times New Roman"/>
      <w:b/>
      <w:sz w:val="24"/>
      <w:szCs w:val="24"/>
      <w:lang w:val="x-none" w:eastAsia="x-none"/>
    </w:rPr>
  </w:style>
  <w:style w:type="character" w:styleId="4" w:customStyle="1">
    <w:name w:val="Заголовок 4 Знак"/>
    <w:basedOn w:val="DefaultParagraphFont"/>
    <w:qFormat/>
    <w:rsid w:val="00221f49"/>
    <w:rPr>
      <w:rFonts w:ascii="Times New Roman" w:hAnsi="Times New Roman" w:eastAsia="Calibri" w:cs="Times New Roman"/>
      <w:b/>
      <w:bCs/>
      <w:sz w:val="24"/>
      <w:szCs w:val="24"/>
      <w:lang w:val="x-none" w:eastAsia="x-none"/>
    </w:rPr>
  </w:style>
  <w:style w:type="character" w:styleId="Style8" w:customStyle="1">
    <w:name w:val="Текст выноски Знак"/>
    <w:basedOn w:val="DefaultParagraphFont"/>
    <w:link w:val="BalloonText"/>
    <w:uiPriority w:val="99"/>
    <w:semiHidden/>
    <w:qFormat/>
    <w:rsid w:val="006957a0"/>
    <w:rPr>
      <w:rFonts w:ascii="Segoe UI" w:hAnsi="Segoe UI" w:eastAsia="Times New Roman" w:cs="Segoe UI"/>
      <w:sz w:val="18"/>
      <w:szCs w:val="18"/>
      <w:lang w:eastAsia="ru-RU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024196"/>
    <w:rPr>
      <w:sz w:val="16"/>
      <w:szCs w:val="16"/>
    </w:rPr>
  </w:style>
  <w:style w:type="character" w:styleId="Style9" w:customStyle="1">
    <w:name w:val="Текст примечания Знак"/>
    <w:basedOn w:val="DefaultParagraphFont"/>
    <w:link w:val="Annotationtext"/>
    <w:uiPriority w:val="99"/>
    <w:semiHidden/>
    <w:qFormat/>
    <w:rsid w:val="00024196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styleId="Style10" w:customStyle="1">
    <w:name w:val="Тема примечания Знак"/>
    <w:basedOn w:val="Style9"/>
    <w:link w:val="Annotationsubject"/>
    <w:uiPriority w:val="99"/>
    <w:semiHidden/>
    <w:qFormat/>
    <w:rsid w:val="00024196"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character" w:styleId="Style11">
    <w:name w:val="Ссылка указателя"/>
    <w:qFormat/>
    <w:rPr/>
  </w:style>
  <w:style w:type="character" w:styleId="Strong">
    <w:name w:val="Strong"/>
    <w:qFormat/>
    <w:rPr>
      <w:b/>
      <w:bCs/>
    </w:rPr>
  </w:style>
  <w:style w:type="character" w:styleId="LineNumber">
    <w:name w:val="Line Number"/>
    <w:rPr/>
  </w:style>
  <w:style w:type="paragraph" w:styleId="Style12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Arial Unicode MS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Style13">
    <w:name w:val="Указатель"/>
    <w:basedOn w:val="Normal"/>
    <w:qFormat/>
    <w:pPr>
      <w:suppressLineNumbers/>
    </w:pPr>
    <w:rPr/>
  </w:style>
  <w:style w:type="paragraph" w:styleId="TOC1">
    <w:name w:val="TOC 1"/>
    <w:basedOn w:val="Normal"/>
    <w:next w:val="Normal"/>
    <w:autoRedefine/>
    <w:uiPriority w:val="39"/>
    <w:rsid w:val="002f7061"/>
    <w:pPr>
      <w:tabs>
        <w:tab w:val="clear" w:pos="708"/>
        <w:tab w:val="left" w:pos="560" w:leader="none"/>
        <w:tab w:val="right" w:pos="9911" w:leader="dot"/>
      </w:tabs>
      <w:spacing w:before="120" w:after="0"/>
      <w:ind w:firstLine="426"/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rsid w:val="00f25f48"/>
    <w:pPr>
      <w:tabs>
        <w:tab w:val="clear" w:pos="708"/>
        <w:tab w:val="left" w:pos="1120" w:leader="none"/>
        <w:tab w:val="right" w:pos="9911" w:leader="dot"/>
      </w:tabs>
      <w:ind w:left="280" w:hanging="0"/>
    </w:pPr>
    <w:rPr>
      <w:rFonts w:cs="Calibri" w:cs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rsid w:val="00f25f48"/>
    <w:pPr>
      <w:tabs>
        <w:tab w:val="clear" w:pos="708"/>
        <w:tab w:val="left" w:pos="1120" w:leader="none"/>
        <w:tab w:val="right" w:pos="9911" w:leader="dot"/>
      </w:tabs>
      <w:ind w:left="560" w:hanging="0"/>
    </w:pPr>
    <w:rPr>
      <w:rFonts w:cs="Calibri" w:cstheme="minorHAnsi"/>
      <w:iCs/>
      <w:sz w:val="20"/>
      <w:szCs w:val="20"/>
    </w:rPr>
  </w:style>
  <w:style w:type="paragraph" w:styleId="Style14">
    <w:name w:val="Колонтитул"/>
    <w:basedOn w:val="Normal"/>
    <w:qFormat/>
    <w:pPr/>
    <w:rPr/>
  </w:style>
  <w:style w:type="paragraph" w:styleId="Header">
    <w:name w:val="Header"/>
    <w:basedOn w:val="Normal"/>
    <w:link w:val="Style6"/>
    <w:uiPriority w:val="99"/>
    <w:unhideWhenUsed/>
    <w:rsid w:val="00221f4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7"/>
    <w:uiPriority w:val="99"/>
    <w:unhideWhenUsed/>
    <w:rsid w:val="00221f49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15" w:customStyle="1">
    <w:name w:val="Раздел положения"/>
    <w:basedOn w:val="Normal"/>
    <w:autoRedefine/>
    <w:qFormat/>
    <w:rsid w:val="00221f49"/>
    <w:pPr>
      <w:numPr>
        <w:ilvl w:val="0"/>
        <w:numId w:val="3"/>
      </w:numPr>
      <w:spacing w:before="80" w:after="80"/>
      <w:jc w:val="center"/>
    </w:pPr>
    <w:rPr>
      <w:b/>
      <w:sz w:val="32"/>
      <w:szCs w:val="32"/>
    </w:rPr>
  </w:style>
  <w:style w:type="paragraph" w:styleId="Style16" w:customStyle="1">
    <w:name w:val="Подраздел раздела положения"/>
    <w:basedOn w:val="Normal"/>
    <w:autoRedefine/>
    <w:qFormat/>
    <w:rsid w:val="00221f49"/>
    <w:pPr>
      <w:numPr>
        <w:ilvl w:val="1"/>
        <w:numId w:val="3"/>
      </w:numPr>
      <w:spacing w:before="80" w:after="80"/>
      <w:jc w:val="both"/>
    </w:pPr>
    <w:rPr/>
  </w:style>
  <w:style w:type="paragraph" w:styleId="Style17" w:customStyle="1">
    <w:name w:val="Таблица шапка"/>
    <w:basedOn w:val="Normal"/>
    <w:qFormat/>
    <w:rsid w:val="001d4fb3"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BalloonText">
    <w:name w:val="Balloon Text"/>
    <w:basedOn w:val="Normal"/>
    <w:link w:val="Style8"/>
    <w:uiPriority w:val="99"/>
    <w:semiHidden/>
    <w:unhideWhenUsed/>
    <w:qFormat/>
    <w:rsid w:val="006957a0"/>
    <w:pPr/>
    <w:rPr>
      <w:rFonts w:ascii="Segoe UI" w:hAnsi="Segoe UI" w:cs="Segoe UI"/>
      <w:sz w:val="18"/>
      <w:szCs w:val="18"/>
    </w:rPr>
  </w:style>
  <w:style w:type="paragraph" w:styleId="Annotationtext">
    <w:name w:val="annotation text"/>
    <w:basedOn w:val="Normal"/>
    <w:link w:val="Style9"/>
    <w:uiPriority w:val="99"/>
    <w:semiHidden/>
    <w:unhideWhenUsed/>
    <w:qFormat/>
    <w:rsid w:val="00024196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Style10"/>
    <w:uiPriority w:val="99"/>
    <w:semiHidden/>
    <w:unhideWhenUsed/>
    <w:qFormat/>
    <w:rsid w:val="00024196"/>
    <w:pPr/>
    <w:rPr>
      <w:b/>
      <w:bCs/>
    </w:rPr>
  </w:style>
  <w:style w:type="paragraph" w:styleId="Revision">
    <w:name w:val="Revision"/>
    <w:uiPriority w:val="99"/>
    <w:semiHidden/>
    <w:qFormat/>
    <w:rsid w:val="00163299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Style18">
    <w:name w:val="Содержимое таблицы"/>
    <w:basedOn w:val="Normal"/>
    <w:qFormat/>
    <w:pPr>
      <w:widowControl w:val="false"/>
      <w:suppressLineNumbers/>
    </w:pPr>
    <w:rPr/>
  </w:style>
  <w:style w:type="paragraph" w:styleId="Style19">
    <w:name w:val="Заголовок таблицы"/>
    <w:basedOn w:val="Style18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3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"/>
    <w:basedOn w:val="a3"/>
    <w:uiPriority w:val="39"/>
    <w:rsid w:val="00ba7ac9"/>
    <w:pPr>
      <w:spacing w:after="0" w:line="240" w:lineRule="auto"/>
    </w:pPr>
    <w:rPr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ab">
    <w:name w:val="Table Grid"/>
    <w:basedOn w:val="a3"/>
    <w:uiPriority w:val="39"/>
    <w:rsid w:val="00ba7ac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525006-0BFC-41E3-AB03-77228A241A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Application>AlterOffice/3.4.0.9$Linux_X86_64 LibreOffice_project/b8daf9e823b1a5463a2f48435ddc2e8696e7d4fc</Application>
  <AppVersion>15.0000</AppVersion>
  <Pages>5</Pages>
  <Words>713</Words>
  <Characters>5042</Characters>
  <CharactersWithSpaces>5642</CharactersWithSpaces>
  <Paragraphs>138</Paragraphs>
  <Company>RusHydro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2024-04-24T06:55:00Z</dcterms:created>
  <dc:creator>Смирнов Константин Русланович</dc:creator>
  <dc:description/>
  <dc:language>ru-RU</dc:language>
  <cp:lastModifiedBy>rossihinasv@corp.gidroogk.com</cp:lastModifiedBy>
  <cp:lastPrinted>2023-01-12T00:12:00Z</cp:lastPrinted>
  <dcterms:modified xsi:type="dcterms:W3CDTF">2026-09-07T13:06:58Z</dcterms:modified>
  <cp:revision>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